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EECD4" w14:textId="1E1C2493" w:rsidR="00D9129B" w:rsidRDefault="00D9129B">
      <w:r>
        <w:t>Summer Data 2026</w:t>
      </w:r>
    </w:p>
    <w:p w14:paraId="38B3D912" w14:textId="669B4DD2" w:rsidR="00D9129B" w:rsidRDefault="00D9129B"/>
    <w:tbl>
      <w:tblPr>
        <w:tblW w:w="15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2"/>
        <w:gridCol w:w="2162"/>
        <w:gridCol w:w="2162"/>
        <w:gridCol w:w="2163"/>
        <w:gridCol w:w="2163"/>
        <w:gridCol w:w="2163"/>
        <w:gridCol w:w="2163"/>
      </w:tblGrid>
      <w:tr w:rsidR="00D9129B" w:rsidRPr="00D9129B" w14:paraId="52EF9132" w14:textId="77777777" w:rsidTr="00146BBB">
        <w:trPr>
          <w:trHeight w:val="360"/>
        </w:trPr>
        <w:tc>
          <w:tcPr>
            <w:tcW w:w="2162" w:type="dxa"/>
            <w:shd w:val="clear" w:color="auto" w:fill="D9EAD3"/>
            <w:tcMar>
              <w:top w:w="100" w:type="dxa"/>
              <w:left w:w="100" w:type="dxa"/>
              <w:bottom w:w="100" w:type="dxa"/>
              <w:right w:w="100" w:type="dxa"/>
            </w:tcMar>
          </w:tcPr>
          <w:p w14:paraId="1C014295"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p>
        </w:tc>
        <w:tc>
          <w:tcPr>
            <w:tcW w:w="4324" w:type="dxa"/>
            <w:gridSpan w:val="2"/>
            <w:shd w:val="clear" w:color="auto" w:fill="D9EAD3"/>
            <w:tcMar>
              <w:top w:w="100" w:type="dxa"/>
              <w:left w:w="100" w:type="dxa"/>
              <w:bottom w:w="100" w:type="dxa"/>
              <w:right w:w="100" w:type="dxa"/>
            </w:tcMar>
          </w:tcPr>
          <w:p w14:paraId="77642139" w14:textId="77777777" w:rsidR="00D9129B" w:rsidRPr="00D9129B" w:rsidRDefault="00D9129B" w:rsidP="00D9129B">
            <w:pPr>
              <w:widowControl w:val="0"/>
              <w:pBdr>
                <w:top w:val="nil"/>
                <w:left w:val="nil"/>
                <w:bottom w:val="nil"/>
                <w:right w:val="nil"/>
                <w:between w:val="nil"/>
              </w:pBdr>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2023</w:t>
            </w:r>
          </w:p>
        </w:tc>
        <w:tc>
          <w:tcPr>
            <w:tcW w:w="4326" w:type="dxa"/>
            <w:gridSpan w:val="2"/>
            <w:shd w:val="clear" w:color="auto" w:fill="D9EAD3"/>
            <w:tcMar>
              <w:top w:w="100" w:type="dxa"/>
              <w:left w:w="100" w:type="dxa"/>
              <w:bottom w:w="100" w:type="dxa"/>
              <w:right w:w="100" w:type="dxa"/>
            </w:tcMar>
          </w:tcPr>
          <w:p w14:paraId="575B7267" w14:textId="77777777" w:rsidR="00D9129B" w:rsidRPr="00D9129B" w:rsidRDefault="00D9129B" w:rsidP="00D9129B">
            <w:pPr>
              <w:widowControl w:val="0"/>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2024</w:t>
            </w:r>
          </w:p>
        </w:tc>
        <w:tc>
          <w:tcPr>
            <w:tcW w:w="4326" w:type="dxa"/>
            <w:gridSpan w:val="2"/>
            <w:shd w:val="clear" w:color="auto" w:fill="D9EAD3"/>
            <w:tcMar>
              <w:top w:w="100" w:type="dxa"/>
              <w:left w:w="100" w:type="dxa"/>
              <w:bottom w:w="100" w:type="dxa"/>
              <w:right w:w="100" w:type="dxa"/>
            </w:tcMar>
          </w:tcPr>
          <w:p w14:paraId="6A40CC6E" w14:textId="77777777" w:rsidR="00D9129B" w:rsidRPr="00D9129B" w:rsidRDefault="00D9129B" w:rsidP="00D9129B">
            <w:pPr>
              <w:widowControl w:val="0"/>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2025</w:t>
            </w:r>
          </w:p>
        </w:tc>
      </w:tr>
      <w:tr w:rsidR="00D9129B" w:rsidRPr="00D9129B" w14:paraId="61F76BA3" w14:textId="77777777" w:rsidTr="00146BBB">
        <w:tc>
          <w:tcPr>
            <w:tcW w:w="2162" w:type="dxa"/>
            <w:shd w:val="clear" w:color="auto" w:fill="D9EAD3"/>
            <w:tcMar>
              <w:top w:w="100" w:type="dxa"/>
              <w:left w:w="100" w:type="dxa"/>
              <w:bottom w:w="100" w:type="dxa"/>
              <w:right w:w="100" w:type="dxa"/>
            </w:tcMar>
          </w:tcPr>
          <w:p w14:paraId="4BA200F5"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KS2 SATs</w:t>
            </w:r>
          </w:p>
        </w:tc>
        <w:tc>
          <w:tcPr>
            <w:tcW w:w="2162" w:type="dxa"/>
            <w:shd w:val="clear" w:color="auto" w:fill="D9EAD3"/>
            <w:tcMar>
              <w:top w:w="100" w:type="dxa"/>
              <w:left w:w="100" w:type="dxa"/>
              <w:bottom w:w="100" w:type="dxa"/>
              <w:right w:w="100" w:type="dxa"/>
            </w:tcMar>
          </w:tcPr>
          <w:p w14:paraId="210B9005" w14:textId="77777777" w:rsidR="00D9129B" w:rsidRPr="00D9129B" w:rsidRDefault="00D9129B" w:rsidP="00D9129B">
            <w:pPr>
              <w:widowControl w:val="0"/>
              <w:pBdr>
                <w:top w:val="nil"/>
                <w:left w:val="nil"/>
                <w:bottom w:val="nil"/>
                <w:right w:val="nil"/>
                <w:between w:val="nil"/>
              </w:pBdr>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School</w:t>
            </w:r>
          </w:p>
        </w:tc>
        <w:tc>
          <w:tcPr>
            <w:tcW w:w="2162" w:type="dxa"/>
            <w:shd w:val="clear" w:color="auto" w:fill="D9EAD3"/>
            <w:tcMar>
              <w:top w:w="100" w:type="dxa"/>
              <w:left w:w="100" w:type="dxa"/>
              <w:bottom w:w="100" w:type="dxa"/>
              <w:right w:w="100" w:type="dxa"/>
            </w:tcMar>
          </w:tcPr>
          <w:p w14:paraId="53A0E190" w14:textId="77777777" w:rsidR="00D9129B" w:rsidRPr="00D9129B" w:rsidRDefault="00D9129B" w:rsidP="00D9129B">
            <w:pPr>
              <w:widowControl w:val="0"/>
              <w:pBdr>
                <w:top w:val="nil"/>
                <w:left w:val="nil"/>
                <w:bottom w:val="nil"/>
                <w:right w:val="nil"/>
                <w:between w:val="nil"/>
              </w:pBdr>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National</w:t>
            </w:r>
          </w:p>
        </w:tc>
        <w:tc>
          <w:tcPr>
            <w:tcW w:w="2163" w:type="dxa"/>
            <w:shd w:val="clear" w:color="auto" w:fill="D9EAD3"/>
            <w:tcMar>
              <w:top w:w="100" w:type="dxa"/>
              <w:left w:w="100" w:type="dxa"/>
              <w:bottom w:w="100" w:type="dxa"/>
              <w:right w:w="100" w:type="dxa"/>
            </w:tcMar>
          </w:tcPr>
          <w:p w14:paraId="5DFA31AB" w14:textId="77777777" w:rsidR="00D9129B" w:rsidRPr="00D9129B" w:rsidRDefault="00D9129B" w:rsidP="00D9129B">
            <w:pPr>
              <w:widowControl w:val="0"/>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School</w:t>
            </w:r>
          </w:p>
        </w:tc>
        <w:tc>
          <w:tcPr>
            <w:tcW w:w="2163" w:type="dxa"/>
            <w:shd w:val="clear" w:color="auto" w:fill="D9EAD3"/>
            <w:tcMar>
              <w:top w:w="100" w:type="dxa"/>
              <w:left w:w="100" w:type="dxa"/>
              <w:bottom w:w="100" w:type="dxa"/>
              <w:right w:w="100" w:type="dxa"/>
            </w:tcMar>
          </w:tcPr>
          <w:p w14:paraId="62505D96" w14:textId="77777777" w:rsidR="00D9129B" w:rsidRPr="00D9129B" w:rsidRDefault="00D9129B" w:rsidP="00D9129B">
            <w:pPr>
              <w:widowControl w:val="0"/>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National</w:t>
            </w:r>
          </w:p>
        </w:tc>
        <w:tc>
          <w:tcPr>
            <w:tcW w:w="2163" w:type="dxa"/>
            <w:shd w:val="clear" w:color="auto" w:fill="D9EAD3"/>
            <w:tcMar>
              <w:top w:w="100" w:type="dxa"/>
              <w:left w:w="100" w:type="dxa"/>
              <w:bottom w:w="100" w:type="dxa"/>
              <w:right w:w="100" w:type="dxa"/>
            </w:tcMar>
          </w:tcPr>
          <w:p w14:paraId="402335FC" w14:textId="77777777" w:rsidR="00D9129B" w:rsidRPr="00D9129B" w:rsidRDefault="00D9129B" w:rsidP="00D9129B">
            <w:pPr>
              <w:widowControl w:val="0"/>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School</w:t>
            </w:r>
          </w:p>
        </w:tc>
        <w:tc>
          <w:tcPr>
            <w:tcW w:w="2163" w:type="dxa"/>
            <w:shd w:val="clear" w:color="auto" w:fill="D9EAD3"/>
            <w:tcMar>
              <w:top w:w="100" w:type="dxa"/>
              <w:left w:w="100" w:type="dxa"/>
              <w:bottom w:w="100" w:type="dxa"/>
              <w:right w:w="100" w:type="dxa"/>
            </w:tcMar>
          </w:tcPr>
          <w:p w14:paraId="21DACD01" w14:textId="77777777" w:rsidR="00D9129B" w:rsidRPr="00D9129B" w:rsidRDefault="00D9129B" w:rsidP="00D9129B">
            <w:pPr>
              <w:widowControl w:val="0"/>
              <w:spacing w:after="0" w:line="240" w:lineRule="auto"/>
              <w:jc w:val="center"/>
              <w:rPr>
                <w:rFonts w:ascii="Arial" w:eastAsia="Arial" w:hAnsi="Arial" w:cs="Arial"/>
                <w:sz w:val="16"/>
                <w:szCs w:val="16"/>
                <w:lang w:eastAsia="en-GB"/>
              </w:rPr>
            </w:pPr>
            <w:r w:rsidRPr="00D9129B">
              <w:rPr>
                <w:rFonts w:ascii="Arial" w:eastAsia="Arial" w:hAnsi="Arial" w:cs="Arial"/>
                <w:sz w:val="16"/>
                <w:szCs w:val="16"/>
                <w:lang w:eastAsia="en-GB"/>
              </w:rPr>
              <w:t>National</w:t>
            </w:r>
          </w:p>
        </w:tc>
      </w:tr>
      <w:tr w:rsidR="00D9129B" w:rsidRPr="00D9129B" w14:paraId="14F83C18" w14:textId="77777777" w:rsidTr="00146BBB">
        <w:tc>
          <w:tcPr>
            <w:tcW w:w="2162" w:type="dxa"/>
            <w:shd w:val="clear" w:color="auto" w:fill="auto"/>
            <w:tcMar>
              <w:top w:w="100" w:type="dxa"/>
              <w:left w:w="100" w:type="dxa"/>
              <w:bottom w:w="100" w:type="dxa"/>
              <w:right w:w="100" w:type="dxa"/>
            </w:tcMar>
          </w:tcPr>
          <w:p w14:paraId="6BE948F8"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Reading</w:t>
            </w:r>
          </w:p>
        </w:tc>
        <w:tc>
          <w:tcPr>
            <w:tcW w:w="2162" w:type="dxa"/>
            <w:tcBorders>
              <w:top w:val="single" w:sz="6" w:space="0" w:color="DDDDDD"/>
              <w:right w:val="single" w:sz="6" w:space="0" w:color="DDDDDD"/>
            </w:tcBorders>
            <w:shd w:val="clear" w:color="auto" w:fill="F9F9F9"/>
            <w:tcMar>
              <w:top w:w="100" w:type="dxa"/>
              <w:left w:w="100" w:type="dxa"/>
              <w:bottom w:w="100" w:type="dxa"/>
              <w:right w:w="100" w:type="dxa"/>
            </w:tcMar>
          </w:tcPr>
          <w:p w14:paraId="6FA13C7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67%</w:t>
            </w:r>
          </w:p>
        </w:tc>
        <w:tc>
          <w:tcPr>
            <w:tcW w:w="2162" w:type="dxa"/>
            <w:tcBorders>
              <w:top w:val="single" w:sz="6" w:space="0" w:color="DDDDDD"/>
              <w:right w:val="single" w:sz="6" w:space="0" w:color="DDDDDD"/>
            </w:tcBorders>
            <w:shd w:val="clear" w:color="auto" w:fill="F9F9F9"/>
            <w:tcMar>
              <w:top w:w="100" w:type="dxa"/>
              <w:left w:w="100" w:type="dxa"/>
              <w:bottom w:w="100" w:type="dxa"/>
              <w:right w:w="100" w:type="dxa"/>
            </w:tcMar>
          </w:tcPr>
          <w:p w14:paraId="179A84EB"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74%</w:t>
            </w:r>
          </w:p>
        </w:tc>
        <w:tc>
          <w:tcPr>
            <w:tcW w:w="2163" w:type="dxa"/>
            <w:tcBorders>
              <w:top w:val="single" w:sz="6" w:space="0" w:color="DDDDDD"/>
              <w:right w:val="single" w:sz="6" w:space="0" w:color="DDDDDD"/>
            </w:tcBorders>
            <w:shd w:val="clear" w:color="auto" w:fill="F9F9F9"/>
            <w:tcMar>
              <w:top w:w="100" w:type="dxa"/>
              <w:left w:w="100" w:type="dxa"/>
              <w:bottom w:w="100" w:type="dxa"/>
              <w:right w:w="100" w:type="dxa"/>
            </w:tcMar>
          </w:tcPr>
          <w:p w14:paraId="1DE9E871"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64%</w:t>
            </w:r>
          </w:p>
        </w:tc>
        <w:tc>
          <w:tcPr>
            <w:tcW w:w="2163" w:type="dxa"/>
            <w:tcBorders>
              <w:top w:val="single" w:sz="6" w:space="0" w:color="DDDDDD"/>
              <w:right w:val="single" w:sz="6" w:space="0" w:color="DDDDDD"/>
            </w:tcBorders>
            <w:shd w:val="clear" w:color="auto" w:fill="F9F9F9"/>
            <w:tcMar>
              <w:top w:w="100" w:type="dxa"/>
              <w:left w:w="100" w:type="dxa"/>
              <w:bottom w:w="100" w:type="dxa"/>
              <w:right w:w="100" w:type="dxa"/>
            </w:tcMar>
          </w:tcPr>
          <w:p w14:paraId="3186EBF4"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75%</w:t>
            </w:r>
          </w:p>
        </w:tc>
        <w:tc>
          <w:tcPr>
            <w:tcW w:w="2163" w:type="dxa"/>
            <w:tcBorders>
              <w:top w:val="single" w:sz="6" w:space="0" w:color="DDDDDD"/>
              <w:right w:val="single" w:sz="6" w:space="0" w:color="DDDDDD"/>
            </w:tcBorders>
            <w:shd w:val="clear" w:color="auto" w:fill="F9F9F9"/>
            <w:tcMar>
              <w:top w:w="100" w:type="dxa"/>
              <w:left w:w="100" w:type="dxa"/>
              <w:bottom w:w="100" w:type="dxa"/>
              <w:right w:w="100" w:type="dxa"/>
            </w:tcMar>
          </w:tcPr>
          <w:p w14:paraId="2016AC43"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93%</w:t>
            </w:r>
          </w:p>
        </w:tc>
        <w:tc>
          <w:tcPr>
            <w:tcW w:w="2163" w:type="dxa"/>
            <w:shd w:val="clear" w:color="auto" w:fill="auto"/>
            <w:tcMar>
              <w:top w:w="100" w:type="dxa"/>
              <w:left w:w="100" w:type="dxa"/>
              <w:bottom w:w="100" w:type="dxa"/>
              <w:right w:w="100" w:type="dxa"/>
            </w:tcMar>
          </w:tcPr>
          <w:p w14:paraId="20DB37CB"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75%</w:t>
            </w:r>
          </w:p>
        </w:tc>
      </w:tr>
      <w:tr w:rsidR="00D9129B" w:rsidRPr="00D9129B" w14:paraId="7EC35309" w14:textId="77777777" w:rsidTr="00146BBB">
        <w:tc>
          <w:tcPr>
            <w:tcW w:w="2162" w:type="dxa"/>
            <w:shd w:val="clear" w:color="auto" w:fill="auto"/>
            <w:tcMar>
              <w:top w:w="100" w:type="dxa"/>
              <w:left w:w="100" w:type="dxa"/>
              <w:bottom w:w="100" w:type="dxa"/>
              <w:right w:w="100" w:type="dxa"/>
            </w:tcMar>
          </w:tcPr>
          <w:p w14:paraId="122613ED"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Writing</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59D72F35"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76%</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2F3AE25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72%</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010AE906"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52%</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1A9A397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72%</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299C2DA1"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80%</w:t>
            </w:r>
          </w:p>
        </w:tc>
        <w:tc>
          <w:tcPr>
            <w:tcW w:w="2163" w:type="dxa"/>
            <w:shd w:val="clear" w:color="auto" w:fill="auto"/>
            <w:tcMar>
              <w:top w:w="100" w:type="dxa"/>
              <w:left w:w="100" w:type="dxa"/>
              <w:bottom w:w="100" w:type="dxa"/>
              <w:right w:w="100" w:type="dxa"/>
            </w:tcMar>
          </w:tcPr>
          <w:p w14:paraId="678F47D3"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73%</w:t>
            </w:r>
          </w:p>
        </w:tc>
      </w:tr>
      <w:tr w:rsidR="00D9129B" w:rsidRPr="00D9129B" w14:paraId="456CA02D" w14:textId="77777777" w:rsidTr="00146BBB">
        <w:tc>
          <w:tcPr>
            <w:tcW w:w="2162" w:type="dxa"/>
            <w:shd w:val="clear" w:color="auto" w:fill="auto"/>
            <w:tcMar>
              <w:top w:w="100" w:type="dxa"/>
              <w:left w:w="100" w:type="dxa"/>
              <w:bottom w:w="100" w:type="dxa"/>
              <w:right w:w="100" w:type="dxa"/>
            </w:tcMar>
          </w:tcPr>
          <w:p w14:paraId="26557FA6"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Maths</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390ED50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57%</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09103416"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73%</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4DAAD3BC"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52%</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2D899F6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74%</w:t>
            </w:r>
          </w:p>
        </w:tc>
        <w:tc>
          <w:tcPr>
            <w:tcW w:w="2163" w:type="dxa"/>
            <w:shd w:val="clear" w:color="auto" w:fill="auto"/>
            <w:tcMar>
              <w:top w:w="100" w:type="dxa"/>
              <w:left w:w="100" w:type="dxa"/>
              <w:bottom w:w="100" w:type="dxa"/>
              <w:right w:w="100" w:type="dxa"/>
            </w:tcMar>
          </w:tcPr>
          <w:p w14:paraId="13B5E10E"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shd w:val="clear" w:color="auto" w:fill="F4CCCC"/>
                <w:lang w:eastAsia="en-GB"/>
              </w:rPr>
            </w:pPr>
            <w:r w:rsidRPr="00D9129B">
              <w:rPr>
                <w:rFonts w:asciiTheme="majorHAnsi" w:eastAsia="Arial" w:hAnsiTheme="majorHAnsi" w:cstheme="majorHAnsi"/>
                <w:sz w:val="20"/>
                <w:szCs w:val="20"/>
                <w:shd w:val="clear" w:color="auto" w:fill="F4CCCC"/>
                <w:lang w:eastAsia="en-GB"/>
              </w:rPr>
              <w:t>80%</w:t>
            </w:r>
          </w:p>
        </w:tc>
        <w:tc>
          <w:tcPr>
            <w:tcW w:w="2163" w:type="dxa"/>
            <w:shd w:val="clear" w:color="auto" w:fill="auto"/>
            <w:tcMar>
              <w:top w:w="100" w:type="dxa"/>
              <w:left w:w="100" w:type="dxa"/>
              <w:bottom w:w="100" w:type="dxa"/>
              <w:right w:w="100" w:type="dxa"/>
            </w:tcMar>
          </w:tcPr>
          <w:p w14:paraId="4387A25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shd w:val="clear" w:color="auto" w:fill="F4CCCC"/>
                <w:lang w:eastAsia="en-GB"/>
              </w:rPr>
            </w:pPr>
            <w:r w:rsidRPr="00D9129B">
              <w:rPr>
                <w:rFonts w:asciiTheme="majorHAnsi" w:eastAsia="Arial" w:hAnsiTheme="majorHAnsi" w:cstheme="majorHAnsi"/>
                <w:sz w:val="20"/>
                <w:szCs w:val="20"/>
                <w:shd w:val="clear" w:color="auto" w:fill="F4CCCC"/>
                <w:lang w:eastAsia="en-GB"/>
              </w:rPr>
              <w:t>75%</w:t>
            </w:r>
          </w:p>
        </w:tc>
      </w:tr>
      <w:tr w:rsidR="00D9129B" w:rsidRPr="00D9129B" w14:paraId="72627B9F" w14:textId="77777777" w:rsidTr="00FC4BFE">
        <w:tc>
          <w:tcPr>
            <w:tcW w:w="2162" w:type="dxa"/>
            <w:shd w:val="clear" w:color="auto" w:fill="auto"/>
            <w:tcMar>
              <w:top w:w="100" w:type="dxa"/>
              <w:left w:w="100" w:type="dxa"/>
              <w:bottom w:w="100" w:type="dxa"/>
              <w:right w:w="100" w:type="dxa"/>
            </w:tcMar>
          </w:tcPr>
          <w:p w14:paraId="7349C8BE"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Combined</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70A71E87"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57%</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564B0479"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61%</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16F7714C"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36%</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2DC23432"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62%</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0E5935DD"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80%</w:t>
            </w:r>
          </w:p>
        </w:tc>
        <w:tc>
          <w:tcPr>
            <w:tcW w:w="2163" w:type="dxa"/>
            <w:shd w:val="clear" w:color="auto" w:fill="auto"/>
            <w:tcMar>
              <w:top w:w="100" w:type="dxa"/>
              <w:left w:w="100" w:type="dxa"/>
              <w:bottom w:w="100" w:type="dxa"/>
              <w:right w:w="100" w:type="dxa"/>
            </w:tcMar>
          </w:tcPr>
          <w:p w14:paraId="0F740EA5"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63%</w:t>
            </w:r>
          </w:p>
        </w:tc>
      </w:tr>
      <w:tr w:rsidR="00D9129B" w:rsidRPr="00D9129B" w14:paraId="3280D834" w14:textId="77777777" w:rsidTr="00FC4BFE">
        <w:tc>
          <w:tcPr>
            <w:tcW w:w="2162" w:type="dxa"/>
            <w:shd w:val="clear" w:color="auto" w:fill="auto"/>
            <w:tcMar>
              <w:top w:w="100" w:type="dxa"/>
              <w:left w:w="100" w:type="dxa"/>
              <w:bottom w:w="100" w:type="dxa"/>
              <w:right w:w="100" w:type="dxa"/>
            </w:tcMar>
          </w:tcPr>
          <w:p w14:paraId="472D7EFE"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Year 1 phonics</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376DB668"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88%</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06FB8F59"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80%</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7BB6FB75" w14:textId="77777777" w:rsidR="00D9129B" w:rsidRPr="00D9129B" w:rsidRDefault="00D9129B" w:rsidP="00D9129B">
            <w:pPr>
              <w:widowControl w:val="0"/>
              <w:spacing w:after="0" w:line="240" w:lineRule="auto"/>
              <w:rPr>
                <w:rFonts w:asciiTheme="majorHAnsi" w:eastAsia="Arial" w:hAnsiTheme="majorHAnsi" w:cstheme="majorHAnsi"/>
                <w:sz w:val="20"/>
                <w:szCs w:val="20"/>
                <w:shd w:val="clear" w:color="auto" w:fill="FFF2CC"/>
                <w:lang w:eastAsia="en-GB"/>
              </w:rPr>
            </w:pPr>
            <w:r w:rsidRPr="00D9129B">
              <w:rPr>
                <w:rFonts w:asciiTheme="majorHAnsi" w:eastAsia="Arial" w:hAnsiTheme="majorHAnsi" w:cstheme="majorHAnsi"/>
                <w:sz w:val="20"/>
                <w:szCs w:val="20"/>
                <w:shd w:val="clear" w:color="auto" w:fill="FFF2CC"/>
                <w:lang w:eastAsia="en-GB"/>
              </w:rPr>
              <w:t>82%</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35D9A533"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80%</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79A36C5E"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88%</w:t>
            </w:r>
          </w:p>
        </w:tc>
        <w:tc>
          <w:tcPr>
            <w:tcW w:w="2163" w:type="dxa"/>
            <w:shd w:val="clear" w:color="auto" w:fill="auto"/>
            <w:tcMar>
              <w:top w:w="100" w:type="dxa"/>
              <w:left w:w="100" w:type="dxa"/>
              <w:bottom w:w="100" w:type="dxa"/>
              <w:right w:w="100" w:type="dxa"/>
            </w:tcMar>
          </w:tcPr>
          <w:p w14:paraId="0D813FFF"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82%</w:t>
            </w:r>
          </w:p>
        </w:tc>
      </w:tr>
      <w:tr w:rsidR="00D9129B" w:rsidRPr="00D9129B" w14:paraId="2272E986" w14:textId="77777777" w:rsidTr="00146BBB">
        <w:tc>
          <w:tcPr>
            <w:tcW w:w="2162" w:type="dxa"/>
            <w:shd w:val="clear" w:color="auto" w:fill="auto"/>
            <w:tcMar>
              <w:top w:w="100" w:type="dxa"/>
              <w:left w:w="100" w:type="dxa"/>
              <w:bottom w:w="100" w:type="dxa"/>
              <w:right w:w="100" w:type="dxa"/>
            </w:tcMar>
          </w:tcPr>
          <w:p w14:paraId="13F31012"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By end of Year 2</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6EBC3975"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100%</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45F5432D"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89%</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6D1EF0FC"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 80%</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570FD301"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89%</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151EB717"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shd w:val="clear" w:color="auto" w:fill="FCE5CD"/>
                <w:lang w:eastAsia="en-GB"/>
              </w:rPr>
            </w:pPr>
            <w:r w:rsidRPr="00D9129B">
              <w:rPr>
                <w:rFonts w:asciiTheme="majorHAnsi" w:eastAsia="Arial" w:hAnsiTheme="majorHAnsi" w:cstheme="majorHAnsi"/>
                <w:sz w:val="20"/>
                <w:szCs w:val="20"/>
                <w:shd w:val="clear" w:color="auto" w:fill="FCE5CD"/>
                <w:lang w:eastAsia="en-GB"/>
              </w:rPr>
              <w:t>82%</w:t>
            </w:r>
          </w:p>
        </w:tc>
        <w:tc>
          <w:tcPr>
            <w:tcW w:w="2163" w:type="dxa"/>
            <w:shd w:val="clear" w:color="auto" w:fill="auto"/>
            <w:tcMar>
              <w:top w:w="100" w:type="dxa"/>
              <w:left w:w="100" w:type="dxa"/>
              <w:bottom w:w="100" w:type="dxa"/>
              <w:right w:w="100" w:type="dxa"/>
            </w:tcMar>
          </w:tcPr>
          <w:p w14:paraId="5662AC25"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shd w:val="clear" w:color="auto" w:fill="FCE5CD"/>
                <w:lang w:eastAsia="en-GB"/>
              </w:rPr>
            </w:pPr>
            <w:r w:rsidRPr="00D9129B">
              <w:rPr>
                <w:rFonts w:asciiTheme="majorHAnsi" w:eastAsia="Arial" w:hAnsiTheme="majorHAnsi" w:cstheme="majorHAnsi"/>
                <w:sz w:val="20"/>
                <w:szCs w:val="20"/>
                <w:shd w:val="clear" w:color="auto" w:fill="FCE5CD"/>
                <w:lang w:eastAsia="en-GB"/>
              </w:rPr>
              <w:t>91%</w:t>
            </w:r>
          </w:p>
        </w:tc>
      </w:tr>
      <w:tr w:rsidR="00D9129B" w:rsidRPr="00D9129B" w14:paraId="0851F078" w14:textId="77777777" w:rsidTr="00FC4BFE">
        <w:tc>
          <w:tcPr>
            <w:tcW w:w="2162" w:type="dxa"/>
            <w:shd w:val="clear" w:color="auto" w:fill="auto"/>
            <w:tcMar>
              <w:top w:w="100" w:type="dxa"/>
              <w:left w:w="100" w:type="dxa"/>
              <w:bottom w:w="100" w:type="dxa"/>
              <w:right w:w="100" w:type="dxa"/>
            </w:tcMar>
          </w:tcPr>
          <w:p w14:paraId="2D758A9B" w14:textId="77777777" w:rsidR="00D9129B" w:rsidRPr="00D9129B" w:rsidRDefault="00D9129B" w:rsidP="00D9129B">
            <w:pPr>
              <w:widowControl w:val="0"/>
              <w:pBdr>
                <w:top w:val="nil"/>
                <w:left w:val="nil"/>
                <w:bottom w:val="nil"/>
                <w:right w:val="nil"/>
                <w:between w:val="nil"/>
              </w:pBdr>
              <w:spacing w:after="0" w:line="240" w:lineRule="auto"/>
              <w:rPr>
                <w:rFonts w:ascii="Arial" w:eastAsia="Arial" w:hAnsi="Arial" w:cs="Arial"/>
                <w:sz w:val="16"/>
                <w:szCs w:val="16"/>
                <w:lang w:eastAsia="en-GB"/>
              </w:rPr>
            </w:pPr>
            <w:r w:rsidRPr="00D9129B">
              <w:rPr>
                <w:rFonts w:ascii="Arial" w:eastAsia="Arial" w:hAnsi="Arial" w:cs="Arial"/>
                <w:sz w:val="16"/>
                <w:szCs w:val="16"/>
                <w:lang w:eastAsia="en-GB"/>
              </w:rPr>
              <w:t>GLD</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11531662" w14:textId="77777777" w:rsidR="00D9129B" w:rsidRPr="00D9129B" w:rsidRDefault="00D9129B" w:rsidP="00D9129B">
            <w:pPr>
              <w:widowControl w:val="0"/>
              <w:spacing w:after="0" w:line="240" w:lineRule="auto"/>
              <w:rPr>
                <w:rFonts w:asciiTheme="majorHAnsi" w:eastAsia="Arial" w:hAnsiTheme="majorHAnsi" w:cstheme="majorHAnsi"/>
                <w:sz w:val="20"/>
                <w:szCs w:val="20"/>
                <w:shd w:val="clear" w:color="auto" w:fill="FFF2CC"/>
                <w:lang w:eastAsia="en-GB"/>
              </w:rPr>
            </w:pPr>
            <w:r w:rsidRPr="00D9129B">
              <w:rPr>
                <w:rFonts w:asciiTheme="majorHAnsi" w:eastAsia="Arial" w:hAnsiTheme="majorHAnsi" w:cstheme="majorHAnsi"/>
                <w:sz w:val="20"/>
                <w:szCs w:val="20"/>
                <w:shd w:val="clear" w:color="auto" w:fill="FFF2CC"/>
                <w:lang w:eastAsia="en-GB"/>
              </w:rPr>
              <w:t>90%</w:t>
            </w:r>
          </w:p>
        </w:tc>
        <w:tc>
          <w:tcPr>
            <w:tcW w:w="2162" w:type="dxa"/>
            <w:tcBorders>
              <w:top w:val="single" w:sz="6" w:space="0" w:color="DDDDDD"/>
              <w:right w:val="single" w:sz="6" w:space="0" w:color="DDDDDD"/>
            </w:tcBorders>
            <w:shd w:val="clear" w:color="auto" w:fill="auto"/>
            <w:tcMar>
              <w:top w:w="100" w:type="dxa"/>
              <w:left w:w="100" w:type="dxa"/>
              <w:bottom w:w="100" w:type="dxa"/>
              <w:right w:w="100" w:type="dxa"/>
            </w:tcMar>
          </w:tcPr>
          <w:p w14:paraId="3B8E5850"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68%</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5EDEBD11" w14:textId="77777777" w:rsidR="00D9129B" w:rsidRPr="00D9129B" w:rsidRDefault="00D9129B" w:rsidP="00D9129B">
            <w:pPr>
              <w:widowControl w:val="0"/>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89%</w:t>
            </w:r>
          </w:p>
        </w:tc>
        <w:tc>
          <w:tcPr>
            <w:tcW w:w="2163" w:type="dxa"/>
            <w:tcBorders>
              <w:top w:val="single" w:sz="6" w:space="0" w:color="DDDDDD"/>
              <w:right w:val="single" w:sz="6" w:space="0" w:color="DDDDDD"/>
            </w:tcBorders>
            <w:shd w:val="clear" w:color="auto" w:fill="auto"/>
            <w:tcMar>
              <w:top w:w="100" w:type="dxa"/>
              <w:left w:w="100" w:type="dxa"/>
              <w:bottom w:w="100" w:type="dxa"/>
              <w:right w:w="100" w:type="dxa"/>
            </w:tcMar>
          </w:tcPr>
          <w:p w14:paraId="2208245F"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color w:val="333333"/>
                <w:sz w:val="20"/>
                <w:szCs w:val="20"/>
                <w:lang w:eastAsia="en-GB"/>
              </w:rPr>
              <w:t>68%</w:t>
            </w:r>
          </w:p>
        </w:tc>
        <w:tc>
          <w:tcPr>
            <w:tcW w:w="2163" w:type="dxa"/>
            <w:shd w:val="clear" w:color="auto" w:fill="auto"/>
            <w:tcMar>
              <w:top w:w="100" w:type="dxa"/>
              <w:left w:w="100" w:type="dxa"/>
              <w:bottom w:w="100" w:type="dxa"/>
              <w:right w:w="100" w:type="dxa"/>
            </w:tcMar>
          </w:tcPr>
          <w:p w14:paraId="2D681945"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94%</w:t>
            </w:r>
          </w:p>
        </w:tc>
        <w:tc>
          <w:tcPr>
            <w:tcW w:w="2163" w:type="dxa"/>
            <w:shd w:val="clear" w:color="auto" w:fill="auto"/>
            <w:tcMar>
              <w:top w:w="100" w:type="dxa"/>
              <w:left w:w="100" w:type="dxa"/>
              <w:bottom w:w="100" w:type="dxa"/>
              <w:right w:w="100" w:type="dxa"/>
            </w:tcMar>
          </w:tcPr>
          <w:p w14:paraId="0D9E2DDB" w14:textId="77777777" w:rsidR="00D9129B" w:rsidRPr="00D9129B" w:rsidRDefault="00D9129B" w:rsidP="00D9129B">
            <w:pPr>
              <w:widowControl w:val="0"/>
              <w:pBdr>
                <w:top w:val="nil"/>
                <w:left w:val="nil"/>
                <w:bottom w:val="nil"/>
                <w:right w:val="nil"/>
                <w:between w:val="nil"/>
              </w:pBdr>
              <w:spacing w:after="0" w:line="240" w:lineRule="auto"/>
              <w:rPr>
                <w:rFonts w:asciiTheme="majorHAnsi" w:eastAsia="Arial" w:hAnsiTheme="majorHAnsi" w:cstheme="majorHAnsi"/>
                <w:sz w:val="20"/>
                <w:szCs w:val="20"/>
                <w:lang w:eastAsia="en-GB"/>
              </w:rPr>
            </w:pPr>
            <w:r w:rsidRPr="00D9129B">
              <w:rPr>
                <w:rFonts w:asciiTheme="majorHAnsi" w:eastAsia="Arial" w:hAnsiTheme="majorHAnsi" w:cstheme="majorHAnsi"/>
                <w:sz w:val="20"/>
                <w:szCs w:val="20"/>
                <w:lang w:eastAsia="en-GB"/>
              </w:rPr>
              <w:t>72%</w:t>
            </w:r>
          </w:p>
        </w:tc>
      </w:tr>
    </w:tbl>
    <w:p w14:paraId="6F0559A9" w14:textId="77777777" w:rsidR="00D9129B" w:rsidRDefault="00D9129B"/>
    <w:p w14:paraId="2F16E970" w14:textId="77777777" w:rsidR="00FC4BFE" w:rsidRPr="008854E9" w:rsidRDefault="00FC4BFE" w:rsidP="00FC4BFE">
      <w:pPr>
        <w:pStyle w:val="pdq2pgselectionanchorcontainer"/>
        <w:rPr>
          <w:rFonts w:asciiTheme="minorHAnsi" w:hAnsiTheme="minorHAnsi" w:cstheme="minorHAnsi"/>
        </w:rPr>
      </w:pPr>
      <w:r w:rsidRPr="008854E9">
        <w:rPr>
          <w:rFonts w:asciiTheme="minorHAnsi" w:hAnsiTheme="minorHAnsi" w:cstheme="minorHAnsi"/>
          <w:sz w:val="21"/>
          <w:szCs w:val="21"/>
        </w:rPr>
        <w:t>Narrative:</w:t>
      </w:r>
      <w:r w:rsidRPr="008854E9">
        <w:rPr>
          <w:rFonts w:asciiTheme="minorHAnsi" w:hAnsiTheme="minorHAnsi" w:cstheme="minorHAnsi"/>
        </w:rPr>
        <w:t xml:space="preserve"> </w:t>
      </w:r>
    </w:p>
    <w:p w14:paraId="1D06279C" w14:textId="77777777" w:rsidR="00FC4BFE" w:rsidRPr="008854E9" w:rsidRDefault="00FC4BFE" w:rsidP="00FC4BFE">
      <w:pPr>
        <w:pStyle w:val="pdq2pgselectionanchorcontainer"/>
        <w:rPr>
          <w:rFonts w:asciiTheme="minorHAnsi" w:hAnsiTheme="minorHAnsi" w:cstheme="minorHAnsi"/>
        </w:rPr>
      </w:pPr>
      <w:r w:rsidRPr="008854E9">
        <w:rPr>
          <w:rFonts w:asciiTheme="minorHAnsi" w:hAnsiTheme="minorHAnsi" w:cstheme="minorHAnsi"/>
        </w:rPr>
        <w:t xml:space="preserve">Statutory outcomes for 2025 demonstrate a highly positive picture, with significant improvements across all key measures and attainment exceeding national averages in almost every area. Early Years continues to be a considerable strength, with </w:t>
      </w:r>
      <w:r w:rsidRPr="008854E9">
        <w:rPr>
          <w:rStyle w:val="Strong"/>
          <w:rFonts w:asciiTheme="minorHAnsi" w:hAnsiTheme="minorHAnsi" w:cstheme="minorHAnsi"/>
        </w:rPr>
        <w:t>94% of children achieving a Good Level of Development</w:t>
      </w:r>
      <w:r w:rsidRPr="008854E9">
        <w:rPr>
          <w:rFonts w:asciiTheme="minorHAnsi" w:hAnsiTheme="minorHAnsi" w:cstheme="minorHAnsi"/>
        </w:rPr>
        <w:t xml:space="preserve">, substantially above the national figure of 72%, reflecting consistently high-quality provision and strong foundations for future learning. Phonics outcomes have remained consistently strong over the three-year period, with </w:t>
      </w:r>
      <w:r w:rsidRPr="008854E9">
        <w:rPr>
          <w:rStyle w:val="Strong"/>
          <w:rFonts w:asciiTheme="minorHAnsi" w:hAnsiTheme="minorHAnsi" w:cstheme="minorHAnsi"/>
        </w:rPr>
        <w:t>88% of pupils meeting the expected standard in the Year 1 Phonics Screening Check</w:t>
      </w:r>
      <w:r w:rsidRPr="008854E9">
        <w:rPr>
          <w:rFonts w:asciiTheme="minorHAnsi" w:hAnsiTheme="minorHAnsi" w:cstheme="minorHAnsi"/>
        </w:rPr>
        <w:t xml:space="preserve">, above the national average of 82%, demonstrating the effectiveness of the school's systematic approach to early reading. Although the proportion of pupils meeting the standard by the end of Year 2 reduced to </w:t>
      </w:r>
      <w:r w:rsidRPr="008854E9">
        <w:rPr>
          <w:rStyle w:val="Strong"/>
          <w:rFonts w:asciiTheme="minorHAnsi" w:hAnsiTheme="minorHAnsi" w:cstheme="minorHAnsi"/>
        </w:rPr>
        <w:t>82%</w:t>
      </w:r>
      <w:r w:rsidRPr="008854E9">
        <w:rPr>
          <w:rFonts w:asciiTheme="minorHAnsi" w:hAnsiTheme="minorHAnsi" w:cstheme="minorHAnsi"/>
        </w:rPr>
        <w:t xml:space="preserve">, this reflects the specific needs of a small cohort and will remain an area for continued focus. </w:t>
      </w:r>
    </w:p>
    <w:p w14:paraId="102A4ED0" w14:textId="77777777" w:rsidR="00FC4BFE" w:rsidRPr="008854E9" w:rsidRDefault="00FC4BFE" w:rsidP="00FC4BFE">
      <w:pPr>
        <w:pStyle w:val="NormalWeb"/>
        <w:rPr>
          <w:rFonts w:asciiTheme="minorHAnsi" w:hAnsiTheme="minorHAnsi" w:cstheme="minorHAnsi"/>
        </w:rPr>
      </w:pPr>
      <w:r w:rsidRPr="008854E9">
        <w:rPr>
          <w:rFonts w:asciiTheme="minorHAnsi" w:hAnsiTheme="minorHAnsi" w:cstheme="minorHAnsi"/>
        </w:rPr>
        <w:lastRenderedPageBreak/>
        <w:t xml:space="preserve">At Key Stage 2, outcomes have improved dramatically since 2024. Reading attainment increased from </w:t>
      </w:r>
      <w:r w:rsidRPr="008854E9">
        <w:rPr>
          <w:rStyle w:val="Strong"/>
          <w:rFonts w:asciiTheme="minorHAnsi" w:hAnsiTheme="minorHAnsi" w:cstheme="minorHAnsi"/>
        </w:rPr>
        <w:t>64% to 93%</w:t>
      </w:r>
      <w:r w:rsidRPr="008854E9">
        <w:rPr>
          <w:rFonts w:asciiTheme="minorHAnsi" w:hAnsiTheme="minorHAnsi" w:cstheme="minorHAnsi"/>
        </w:rPr>
        <w:t xml:space="preserve">, placing the school well above the national average of 75% and highlighting the impact of sustained investment in reading fluency, comprehension and vocabulary. Writing outcomes rose from </w:t>
      </w:r>
      <w:r w:rsidRPr="008854E9">
        <w:rPr>
          <w:rStyle w:val="Strong"/>
          <w:rFonts w:asciiTheme="minorHAnsi" w:hAnsiTheme="minorHAnsi" w:cstheme="minorHAnsi"/>
        </w:rPr>
        <w:t>52% to 80%</w:t>
      </w:r>
      <w:r w:rsidRPr="008854E9">
        <w:rPr>
          <w:rFonts w:asciiTheme="minorHAnsi" w:hAnsiTheme="minorHAnsi" w:cstheme="minorHAnsi"/>
        </w:rPr>
        <w:t xml:space="preserve">, while mathematics increased from </w:t>
      </w:r>
      <w:r w:rsidRPr="008854E9">
        <w:rPr>
          <w:rStyle w:val="Strong"/>
          <w:rFonts w:asciiTheme="minorHAnsi" w:hAnsiTheme="minorHAnsi" w:cstheme="minorHAnsi"/>
        </w:rPr>
        <w:t>52% to 80%</w:t>
      </w:r>
      <w:r w:rsidRPr="008854E9">
        <w:rPr>
          <w:rFonts w:asciiTheme="minorHAnsi" w:hAnsiTheme="minorHAnsi" w:cstheme="minorHAnsi"/>
        </w:rPr>
        <w:t xml:space="preserve">, both exceeding national outcomes and demonstrating improved consistency in teaching, curriculum implementation and assessment. Consequently, combined attainment rose from </w:t>
      </w:r>
      <w:r w:rsidRPr="008854E9">
        <w:rPr>
          <w:rStyle w:val="Strong"/>
          <w:rFonts w:asciiTheme="minorHAnsi" w:hAnsiTheme="minorHAnsi" w:cstheme="minorHAnsi"/>
        </w:rPr>
        <w:t>36% in 2024 to 80% in 2025</w:t>
      </w:r>
      <w:r w:rsidRPr="008854E9">
        <w:rPr>
          <w:rFonts w:asciiTheme="minorHAnsi" w:hAnsiTheme="minorHAnsi" w:cstheme="minorHAnsi"/>
        </w:rPr>
        <w:t xml:space="preserve">, significantly above the national average of 63%. This represents exceptional progress over a single academic year and reflects the effectiveness of targeted intervention, high-quality teaching and strong leadership across the school. </w:t>
      </w:r>
    </w:p>
    <w:p w14:paraId="421E2B73" w14:textId="77777777" w:rsidR="00FC4BFE" w:rsidRPr="008854E9" w:rsidRDefault="00FC4BFE" w:rsidP="00FC4BFE">
      <w:pPr>
        <w:pStyle w:val="NormalWeb"/>
        <w:rPr>
          <w:rFonts w:asciiTheme="minorHAnsi" w:hAnsiTheme="minorHAnsi" w:cstheme="minorHAnsi"/>
        </w:rPr>
      </w:pPr>
      <w:r w:rsidRPr="008854E9">
        <w:rPr>
          <w:rFonts w:asciiTheme="minorHAnsi" w:hAnsiTheme="minorHAnsi" w:cstheme="minorHAnsi"/>
        </w:rPr>
        <w:t xml:space="preserve">Overall, the school's statutory outcomes demonstrate that pupils achieve exceptionally well across the curriculum. Strengths are evident in Early Years, phonics and Key Stage 2 attainment, with particularly impressive gains in reading, writing and mathematics. Moving forward, leaders will continue to sustain these high standards while ensuring that pupils requiring additional support in phonics and early reading receive timely intervention, enabling the school to maintain consistently high outcomes for all learners. </w:t>
      </w:r>
    </w:p>
    <w:p w14:paraId="3FA3D49F" w14:textId="77777777" w:rsidR="00FC4BFE" w:rsidRDefault="00FC4BFE" w:rsidP="00FC4BFE">
      <w:pPr>
        <w:jc w:val="center"/>
      </w:pPr>
    </w:p>
    <w:p w14:paraId="00ABEE39" w14:textId="72A7D17C" w:rsidR="00FC4BFE" w:rsidRDefault="00B175D6">
      <w:r w:rsidRPr="00B175D6">
        <w:rPr>
          <w:noProof/>
        </w:rPr>
        <w:drawing>
          <wp:inline distT="0" distB="0" distL="0" distR="0" wp14:anchorId="13385B30" wp14:editId="1B7DBC56">
            <wp:extent cx="8863330" cy="1539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8863330" cy="1539240"/>
                    </a:xfrm>
                    <a:prstGeom prst="rect">
                      <a:avLst/>
                    </a:prstGeom>
                  </pic:spPr>
                </pic:pic>
              </a:graphicData>
            </a:graphic>
          </wp:inline>
        </w:drawing>
      </w:r>
    </w:p>
    <w:p w14:paraId="2B1C719E" w14:textId="7D3F7FB4" w:rsidR="008A7151" w:rsidRDefault="008A7151" w:rsidP="008A7151"/>
    <w:p w14:paraId="08131D45" w14:textId="4039510E" w:rsidR="008A7151" w:rsidRDefault="008A7151" w:rsidP="008A7151">
      <w:pPr>
        <w:tabs>
          <w:tab w:val="left" w:pos="1500"/>
        </w:tabs>
      </w:pPr>
      <w:r>
        <w:lastRenderedPageBreak/>
        <w:tab/>
      </w:r>
      <w:r w:rsidRPr="008A7151">
        <w:rPr>
          <w:noProof/>
        </w:rPr>
        <w:drawing>
          <wp:inline distT="0" distB="0" distL="0" distR="0" wp14:anchorId="2D8256BD" wp14:editId="5E625E12">
            <wp:extent cx="8863330" cy="1506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863330" cy="1506220"/>
                    </a:xfrm>
                    <a:prstGeom prst="rect">
                      <a:avLst/>
                    </a:prstGeom>
                  </pic:spPr>
                </pic:pic>
              </a:graphicData>
            </a:graphic>
          </wp:inline>
        </w:drawing>
      </w:r>
    </w:p>
    <w:p w14:paraId="71E75894" w14:textId="533E2571" w:rsidR="0051159C" w:rsidRPr="0051159C" w:rsidRDefault="0051159C" w:rsidP="0051159C"/>
    <w:p w14:paraId="122F4DAD" w14:textId="3BC38F5C" w:rsidR="0051159C" w:rsidRDefault="0051159C" w:rsidP="0051159C"/>
    <w:p w14:paraId="585F8806" w14:textId="7AC74000" w:rsidR="0051159C" w:rsidRDefault="0051159C" w:rsidP="0051159C">
      <w:pPr>
        <w:tabs>
          <w:tab w:val="left" w:pos="1272"/>
        </w:tabs>
      </w:pPr>
      <w:r>
        <w:tab/>
      </w:r>
      <w:r w:rsidRPr="0051159C">
        <w:rPr>
          <w:noProof/>
        </w:rPr>
        <w:drawing>
          <wp:inline distT="0" distB="0" distL="0" distR="0" wp14:anchorId="239BC790" wp14:editId="04EE130C">
            <wp:extent cx="8863330" cy="15373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863330" cy="1537335"/>
                    </a:xfrm>
                    <a:prstGeom prst="rect">
                      <a:avLst/>
                    </a:prstGeom>
                  </pic:spPr>
                </pic:pic>
              </a:graphicData>
            </a:graphic>
          </wp:inline>
        </w:drawing>
      </w:r>
    </w:p>
    <w:p w14:paraId="48EF490B" w14:textId="1ED20D61" w:rsidR="005C1EB0" w:rsidRDefault="005C1EB0" w:rsidP="005C1EB0"/>
    <w:p w14:paraId="7B5808AB" w14:textId="1CFD359B" w:rsidR="005C1EB0" w:rsidRDefault="005C1EB0" w:rsidP="005C1EB0">
      <w:pPr>
        <w:tabs>
          <w:tab w:val="left" w:pos="2328"/>
        </w:tabs>
      </w:pPr>
      <w:r>
        <w:lastRenderedPageBreak/>
        <w:tab/>
      </w:r>
      <w:r w:rsidRPr="005C1EB0">
        <w:rPr>
          <w:noProof/>
        </w:rPr>
        <w:drawing>
          <wp:inline distT="0" distB="0" distL="0" distR="0" wp14:anchorId="30648AA5" wp14:editId="4B9CA341">
            <wp:extent cx="8863330" cy="15182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63330" cy="1518285"/>
                    </a:xfrm>
                    <a:prstGeom prst="rect">
                      <a:avLst/>
                    </a:prstGeom>
                  </pic:spPr>
                </pic:pic>
              </a:graphicData>
            </a:graphic>
          </wp:inline>
        </w:drawing>
      </w:r>
    </w:p>
    <w:p w14:paraId="38FE48EF" w14:textId="0E40D98F" w:rsidR="00A522AA" w:rsidRDefault="00A522AA" w:rsidP="00A522AA"/>
    <w:p w14:paraId="68E70988" w14:textId="2F07B3B4" w:rsidR="00A522AA" w:rsidRDefault="00A522AA" w:rsidP="00A522AA">
      <w:pPr>
        <w:ind w:firstLine="720"/>
        <w:rPr>
          <w:noProof/>
        </w:rPr>
      </w:pPr>
      <w:r w:rsidRPr="00A522AA">
        <w:rPr>
          <w:noProof/>
        </w:rPr>
        <w:drawing>
          <wp:inline distT="0" distB="0" distL="0" distR="0" wp14:anchorId="5585BF1B" wp14:editId="5AD8AA4A">
            <wp:extent cx="8863330" cy="1586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63330" cy="1586230"/>
                    </a:xfrm>
                    <a:prstGeom prst="rect">
                      <a:avLst/>
                    </a:prstGeom>
                  </pic:spPr>
                </pic:pic>
              </a:graphicData>
            </a:graphic>
          </wp:inline>
        </w:drawing>
      </w:r>
    </w:p>
    <w:p w14:paraId="3AA4B66A" w14:textId="77777777" w:rsidR="00A616AE" w:rsidRPr="00A616AE" w:rsidRDefault="00A616AE" w:rsidP="00A616AE"/>
    <w:p w14:paraId="28F250B2" w14:textId="77777777" w:rsidR="00A616AE" w:rsidRPr="00A616AE" w:rsidRDefault="00A616AE" w:rsidP="00A616AE"/>
    <w:p w14:paraId="0D6695F1" w14:textId="0325DC8F" w:rsidR="00A616AE" w:rsidRPr="00A616AE" w:rsidRDefault="00A616AE" w:rsidP="00A616AE">
      <w:pPr>
        <w:rPr>
          <w:rFonts w:cstheme="minorHAnsi"/>
          <w:noProof/>
          <w:sz w:val="24"/>
          <w:szCs w:val="24"/>
        </w:rPr>
      </w:pPr>
      <w:r w:rsidRPr="00A616AE">
        <w:rPr>
          <w:rFonts w:cstheme="minorHAnsi"/>
          <w:noProof/>
          <w:sz w:val="24"/>
          <w:szCs w:val="24"/>
        </w:rPr>
        <w:t xml:space="preserve">Narrative: </w:t>
      </w:r>
    </w:p>
    <w:p w14:paraId="6908CEB1" w14:textId="3BB1B5C3" w:rsidR="00A616AE" w:rsidRPr="00A616AE" w:rsidRDefault="00A616AE" w:rsidP="00A616AE">
      <w:pPr>
        <w:pStyle w:val="Heading3"/>
        <w:rPr>
          <w:rFonts w:asciiTheme="minorHAnsi" w:eastAsia="Times New Roman" w:hAnsiTheme="minorHAnsi" w:cstheme="minorHAnsi"/>
          <w:b/>
          <w:bCs/>
          <w:color w:val="auto"/>
          <w:lang w:eastAsia="en-GB"/>
        </w:rPr>
      </w:pPr>
      <w:r w:rsidRPr="00A616AE">
        <w:rPr>
          <w:rFonts w:asciiTheme="minorHAnsi" w:eastAsia="Times New Roman" w:hAnsiTheme="minorHAnsi" w:cstheme="minorHAnsi"/>
          <w:b/>
          <w:bCs/>
          <w:color w:val="auto"/>
          <w:lang w:eastAsia="en-GB"/>
        </w:rPr>
        <w:t>Year 1</w:t>
      </w:r>
    </w:p>
    <w:p w14:paraId="11EE3C70" w14:textId="77777777" w:rsidR="00A616AE" w:rsidRPr="00A616AE" w:rsidRDefault="00A616AE" w:rsidP="00A616AE">
      <w:pPr>
        <w:spacing w:before="100" w:beforeAutospacing="1" w:after="100" w:afterAutospacing="1" w:line="240" w:lineRule="auto"/>
        <w:rPr>
          <w:rFonts w:eastAsia="Times New Roman" w:cstheme="minorHAnsi"/>
          <w:sz w:val="24"/>
          <w:szCs w:val="24"/>
          <w:lang w:eastAsia="en-GB"/>
        </w:rPr>
      </w:pPr>
      <w:r w:rsidRPr="00A616AE">
        <w:rPr>
          <w:rFonts w:eastAsia="Times New Roman" w:cstheme="minorHAnsi"/>
          <w:sz w:val="24"/>
          <w:szCs w:val="24"/>
          <w:lang w:eastAsia="en-GB"/>
        </w:rPr>
        <w:t xml:space="preserve">Year 1 outcomes present a positive picture overall, with </w:t>
      </w:r>
      <w:r w:rsidRPr="00A616AE">
        <w:rPr>
          <w:rFonts w:eastAsia="Times New Roman" w:cstheme="minorHAnsi"/>
          <w:sz w:val="24"/>
          <w:szCs w:val="24"/>
          <w:highlight w:val="green"/>
          <w:lang w:eastAsia="en-GB"/>
        </w:rPr>
        <w:t>mathematics emerging as the strongest subject</w:t>
      </w:r>
      <w:r w:rsidRPr="00A616AE">
        <w:rPr>
          <w:rFonts w:eastAsia="Times New Roman" w:cstheme="minorHAnsi"/>
          <w:sz w:val="24"/>
          <w:szCs w:val="24"/>
          <w:lang w:eastAsia="en-GB"/>
        </w:rPr>
        <w:t xml:space="preserve">. </w:t>
      </w:r>
      <w:r w:rsidRPr="00A616AE">
        <w:rPr>
          <w:rFonts w:eastAsia="Times New Roman" w:cstheme="minorHAnsi"/>
          <w:b/>
          <w:bCs/>
          <w:sz w:val="24"/>
          <w:szCs w:val="24"/>
          <w:lang w:eastAsia="en-GB"/>
        </w:rPr>
        <w:t>91% of pupils are working at or above the expected standard</w:t>
      </w:r>
      <w:r w:rsidRPr="00A616AE">
        <w:rPr>
          <w:rFonts w:eastAsia="Times New Roman" w:cstheme="minorHAnsi"/>
          <w:sz w:val="24"/>
          <w:szCs w:val="24"/>
          <w:lang w:eastAsia="en-GB"/>
        </w:rPr>
        <w:t xml:space="preserve"> in mathematics, with almost a quarter achieving above the expected standard. Reading is also a strength, with </w:t>
      </w:r>
      <w:r w:rsidRPr="00A616AE">
        <w:rPr>
          <w:rFonts w:eastAsia="Times New Roman" w:cstheme="minorHAnsi"/>
          <w:b/>
          <w:bCs/>
          <w:sz w:val="24"/>
          <w:szCs w:val="24"/>
          <w:lang w:eastAsia="en-GB"/>
        </w:rPr>
        <w:t>72% of pupils achieving expected or above</w:t>
      </w:r>
      <w:r w:rsidRPr="00A616AE">
        <w:rPr>
          <w:rFonts w:eastAsia="Times New Roman" w:cstheme="minorHAnsi"/>
          <w:sz w:val="24"/>
          <w:szCs w:val="24"/>
          <w:lang w:eastAsia="en-GB"/>
        </w:rPr>
        <w:t xml:space="preserve">, including 27% working at greater depth. </w:t>
      </w:r>
      <w:r w:rsidRPr="00A616AE">
        <w:rPr>
          <w:rFonts w:eastAsia="Times New Roman" w:cstheme="minorHAnsi"/>
          <w:sz w:val="24"/>
          <w:szCs w:val="24"/>
          <w:highlight w:val="yellow"/>
          <w:lang w:eastAsia="en-GB"/>
        </w:rPr>
        <w:t>Writing is comparatively weaker</w:t>
      </w:r>
      <w:r w:rsidRPr="00A616AE">
        <w:rPr>
          <w:rFonts w:eastAsia="Times New Roman" w:cstheme="minorHAnsi"/>
          <w:sz w:val="24"/>
          <w:szCs w:val="24"/>
          <w:lang w:eastAsia="en-GB"/>
        </w:rPr>
        <w:t xml:space="preserve">, with </w:t>
      </w:r>
      <w:r w:rsidRPr="00A616AE">
        <w:rPr>
          <w:rFonts w:eastAsia="Times New Roman" w:cstheme="minorHAnsi"/>
          <w:b/>
          <w:bCs/>
          <w:sz w:val="24"/>
          <w:szCs w:val="24"/>
          <w:lang w:eastAsia="en-GB"/>
        </w:rPr>
        <w:t xml:space="preserve">64% of pupils </w:t>
      </w:r>
      <w:r w:rsidRPr="00A616AE">
        <w:rPr>
          <w:rFonts w:eastAsia="Times New Roman" w:cstheme="minorHAnsi"/>
          <w:b/>
          <w:bCs/>
          <w:sz w:val="24"/>
          <w:szCs w:val="24"/>
          <w:lang w:eastAsia="en-GB"/>
        </w:rPr>
        <w:lastRenderedPageBreak/>
        <w:t>working at or above the expected standard</w:t>
      </w:r>
      <w:r w:rsidRPr="00A616AE">
        <w:rPr>
          <w:rFonts w:eastAsia="Times New Roman" w:cstheme="minorHAnsi"/>
          <w:sz w:val="24"/>
          <w:szCs w:val="24"/>
          <w:lang w:eastAsia="en-GB"/>
        </w:rPr>
        <w:t xml:space="preserve"> and over a third of pupils requiring further support. </w:t>
      </w:r>
      <w:r w:rsidRPr="00A616AE">
        <w:rPr>
          <w:rFonts w:eastAsia="Times New Roman" w:cstheme="minorHAnsi"/>
          <w:sz w:val="24"/>
          <w:szCs w:val="24"/>
          <w:highlight w:val="yellow"/>
          <w:lang w:eastAsia="en-GB"/>
        </w:rPr>
        <w:t>The focus moving into Year 2 should be on developing pupils' independent writing skills while maintaining strong outcomes in mathematics and reading.</w:t>
      </w:r>
    </w:p>
    <w:p w14:paraId="7B9149E2" w14:textId="77777777" w:rsidR="00A616AE" w:rsidRPr="00A616AE" w:rsidRDefault="00A616AE" w:rsidP="00A616AE">
      <w:pPr>
        <w:spacing w:before="100" w:beforeAutospacing="1" w:after="100" w:afterAutospacing="1" w:line="240" w:lineRule="auto"/>
        <w:outlineLvl w:val="2"/>
        <w:rPr>
          <w:rFonts w:eastAsia="Times New Roman" w:cstheme="minorHAnsi"/>
          <w:b/>
          <w:bCs/>
          <w:sz w:val="24"/>
          <w:szCs w:val="24"/>
          <w:lang w:eastAsia="en-GB"/>
        </w:rPr>
      </w:pPr>
      <w:r w:rsidRPr="00A616AE">
        <w:rPr>
          <w:rFonts w:eastAsia="Times New Roman" w:cstheme="minorHAnsi"/>
          <w:b/>
          <w:bCs/>
          <w:sz w:val="24"/>
          <w:szCs w:val="24"/>
          <w:lang w:eastAsia="en-GB"/>
        </w:rPr>
        <w:t>Year 2</w:t>
      </w:r>
    </w:p>
    <w:p w14:paraId="0FCC61F5" w14:textId="77777777" w:rsidR="00A616AE" w:rsidRPr="00A616AE" w:rsidRDefault="00A616AE" w:rsidP="00A616AE">
      <w:pPr>
        <w:spacing w:before="100" w:beforeAutospacing="1" w:after="100" w:afterAutospacing="1" w:line="240" w:lineRule="auto"/>
        <w:rPr>
          <w:rFonts w:eastAsia="Times New Roman" w:cstheme="minorHAnsi"/>
          <w:sz w:val="24"/>
          <w:szCs w:val="24"/>
          <w:lang w:eastAsia="en-GB"/>
        </w:rPr>
      </w:pPr>
      <w:r w:rsidRPr="00A616AE">
        <w:rPr>
          <w:rFonts w:eastAsia="Times New Roman" w:cstheme="minorHAnsi"/>
          <w:sz w:val="24"/>
          <w:szCs w:val="24"/>
          <w:lang w:eastAsia="en-GB"/>
        </w:rPr>
        <w:t xml:space="preserve">Year 2 demonstrates particularly </w:t>
      </w:r>
      <w:r w:rsidRPr="00A616AE">
        <w:rPr>
          <w:rFonts w:eastAsia="Times New Roman" w:cstheme="minorHAnsi"/>
          <w:sz w:val="24"/>
          <w:szCs w:val="24"/>
          <w:highlight w:val="green"/>
          <w:lang w:eastAsia="en-GB"/>
        </w:rPr>
        <w:t>strong attainment in mathematics</w:t>
      </w:r>
      <w:r w:rsidRPr="00A616AE">
        <w:rPr>
          <w:rFonts w:eastAsia="Times New Roman" w:cstheme="minorHAnsi"/>
          <w:sz w:val="24"/>
          <w:szCs w:val="24"/>
          <w:lang w:eastAsia="en-GB"/>
        </w:rPr>
        <w:t xml:space="preserve">, where </w:t>
      </w:r>
      <w:r w:rsidRPr="00A616AE">
        <w:rPr>
          <w:rFonts w:eastAsia="Times New Roman" w:cstheme="minorHAnsi"/>
          <w:b/>
          <w:bCs/>
          <w:sz w:val="24"/>
          <w:szCs w:val="24"/>
          <w:lang w:eastAsia="en-GB"/>
        </w:rPr>
        <w:t>78% of pupils are working at or above the expected standard</w:t>
      </w:r>
      <w:r w:rsidRPr="00A616AE">
        <w:rPr>
          <w:rFonts w:eastAsia="Times New Roman" w:cstheme="minorHAnsi"/>
          <w:sz w:val="24"/>
          <w:szCs w:val="24"/>
          <w:lang w:eastAsia="en-GB"/>
        </w:rPr>
        <w:t xml:space="preserve">. Reading is also a strength, with </w:t>
      </w:r>
      <w:r w:rsidRPr="00A616AE">
        <w:rPr>
          <w:rFonts w:eastAsia="Times New Roman" w:cstheme="minorHAnsi"/>
          <w:b/>
          <w:bCs/>
          <w:sz w:val="24"/>
          <w:szCs w:val="24"/>
          <w:lang w:eastAsia="en-GB"/>
        </w:rPr>
        <w:t>79% achieving expected or above</w:t>
      </w:r>
      <w:r w:rsidRPr="00A616AE">
        <w:rPr>
          <w:rFonts w:eastAsia="Times New Roman" w:cstheme="minorHAnsi"/>
          <w:sz w:val="24"/>
          <w:szCs w:val="24"/>
          <w:lang w:eastAsia="en-GB"/>
        </w:rPr>
        <w:t xml:space="preserve">, including a high proportion of pupils working above the expected standard. </w:t>
      </w:r>
      <w:r w:rsidRPr="00A616AE">
        <w:rPr>
          <w:rFonts w:eastAsia="Times New Roman" w:cstheme="minorHAnsi"/>
          <w:sz w:val="24"/>
          <w:szCs w:val="24"/>
          <w:highlight w:val="yellow"/>
          <w:lang w:eastAsia="en-GB"/>
        </w:rPr>
        <w:t>Writing, however, remains the main area for development</w:t>
      </w:r>
      <w:r w:rsidRPr="00A616AE">
        <w:rPr>
          <w:rFonts w:eastAsia="Times New Roman" w:cstheme="minorHAnsi"/>
          <w:sz w:val="24"/>
          <w:szCs w:val="24"/>
          <w:lang w:eastAsia="en-GB"/>
        </w:rPr>
        <w:t xml:space="preserve">, with </w:t>
      </w:r>
      <w:r w:rsidRPr="00A616AE">
        <w:rPr>
          <w:rFonts w:eastAsia="Times New Roman" w:cstheme="minorHAnsi"/>
          <w:b/>
          <w:bCs/>
          <w:sz w:val="24"/>
          <w:szCs w:val="24"/>
          <w:lang w:eastAsia="en-GB"/>
        </w:rPr>
        <w:t>43% of pupils working just below the expected standard</w:t>
      </w:r>
      <w:r w:rsidRPr="00A616AE">
        <w:rPr>
          <w:rFonts w:eastAsia="Times New Roman" w:cstheme="minorHAnsi"/>
          <w:sz w:val="24"/>
          <w:szCs w:val="24"/>
          <w:lang w:eastAsia="en-GB"/>
        </w:rPr>
        <w:t xml:space="preserve"> and no pupils currently achieving above expected. This suggests that many pupils are close to meeting age-related expectations and would benefit from </w:t>
      </w:r>
      <w:r w:rsidRPr="00A616AE">
        <w:rPr>
          <w:rFonts w:eastAsia="Times New Roman" w:cstheme="minorHAnsi"/>
          <w:sz w:val="24"/>
          <w:szCs w:val="24"/>
          <w:highlight w:val="yellow"/>
          <w:lang w:eastAsia="en-GB"/>
        </w:rPr>
        <w:t>targeted support to secure writing outcomes.</w:t>
      </w:r>
    </w:p>
    <w:p w14:paraId="2ED6BB69" w14:textId="77777777" w:rsidR="00A616AE" w:rsidRPr="00A616AE" w:rsidRDefault="00A616AE" w:rsidP="00A616AE">
      <w:pPr>
        <w:spacing w:before="100" w:beforeAutospacing="1" w:after="100" w:afterAutospacing="1" w:line="240" w:lineRule="auto"/>
        <w:outlineLvl w:val="2"/>
        <w:rPr>
          <w:rFonts w:eastAsia="Times New Roman" w:cstheme="minorHAnsi"/>
          <w:b/>
          <w:bCs/>
          <w:sz w:val="24"/>
          <w:szCs w:val="24"/>
          <w:lang w:eastAsia="en-GB"/>
        </w:rPr>
      </w:pPr>
      <w:r w:rsidRPr="00A616AE">
        <w:rPr>
          <w:rFonts w:eastAsia="Times New Roman" w:cstheme="minorHAnsi"/>
          <w:b/>
          <w:bCs/>
          <w:sz w:val="24"/>
          <w:szCs w:val="24"/>
          <w:lang w:eastAsia="en-GB"/>
        </w:rPr>
        <w:t>Year 3</w:t>
      </w:r>
    </w:p>
    <w:p w14:paraId="7EE088F4" w14:textId="77777777" w:rsidR="00A616AE" w:rsidRPr="00A616AE" w:rsidRDefault="00A616AE" w:rsidP="00A616AE">
      <w:pPr>
        <w:spacing w:before="100" w:beforeAutospacing="1" w:after="100" w:afterAutospacing="1" w:line="240" w:lineRule="auto"/>
        <w:rPr>
          <w:rFonts w:eastAsia="Times New Roman" w:cstheme="minorHAnsi"/>
          <w:sz w:val="24"/>
          <w:szCs w:val="24"/>
          <w:lang w:eastAsia="en-GB"/>
        </w:rPr>
      </w:pPr>
      <w:r w:rsidRPr="00A616AE">
        <w:rPr>
          <w:rFonts w:eastAsia="Times New Roman" w:cstheme="minorHAnsi"/>
          <w:sz w:val="24"/>
          <w:szCs w:val="24"/>
          <w:lang w:eastAsia="en-GB"/>
        </w:rPr>
        <w:t xml:space="preserve">Year 3 outcomes are more variable across the curriculum. </w:t>
      </w:r>
      <w:r w:rsidRPr="00A616AE">
        <w:rPr>
          <w:rFonts w:eastAsia="Times New Roman" w:cstheme="minorHAnsi"/>
          <w:sz w:val="24"/>
          <w:szCs w:val="24"/>
          <w:highlight w:val="green"/>
          <w:lang w:eastAsia="en-GB"/>
        </w:rPr>
        <w:t>Reading remains the strongest subject</w:t>
      </w:r>
      <w:r w:rsidRPr="00A616AE">
        <w:rPr>
          <w:rFonts w:eastAsia="Times New Roman" w:cstheme="minorHAnsi"/>
          <w:sz w:val="24"/>
          <w:szCs w:val="24"/>
          <w:lang w:eastAsia="en-GB"/>
        </w:rPr>
        <w:t xml:space="preserve">, with </w:t>
      </w:r>
      <w:r w:rsidRPr="00A616AE">
        <w:rPr>
          <w:rFonts w:eastAsia="Times New Roman" w:cstheme="minorHAnsi"/>
          <w:b/>
          <w:bCs/>
          <w:sz w:val="24"/>
          <w:szCs w:val="24"/>
          <w:lang w:eastAsia="en-GB"/>
        </w:rPr>
        <w:t>77% of pupils achieving expected or above</w:t>
      </w:r>
      <w:r w:rsidRPr="00A616AE">
        <w:rPr>
          <w:rFonts w:eastAsia="Times New Roman" w:cstheme="minorHAnsi"/>
          <w:sz w:val="24"/>
          <w:szCs w:val="24"/>
          <w:lang w:eastAsia="en-GB"/>
        </w:rPr>
        <w:t xml:space="preserve">, demonstrating secure comprehension and fluency. Writing is more evenly balanced, with </w:t>
      </w:r>
      <w:r w:rsidRPr="00A616AE">
        <w:rPr>
          <w:rFonts w:eastAsia="Times New Roman" w:cstheme="minorHAnsi"/>
          <w:b/>
          <w:bCs/>
          <w:sz w:val="24"/>
          <w:szCs w:val="24"/>
          <w:lang w:eastAsia="en-GB"/>
        </w:rPr>
        <w:t>61% working at or above the expected standard</w:t>
      </w:r>
      <w:r w:rsidRPr="00A616AE">
        <w:rPr>
          <w:rFonts w:eastAsia="Times New Roman" w:cstheme="minorHAnsi"/>
          <w:sz w:val="24"/>
          <w:szCs w:val="24"/>
          <w:lang w:eastAsia="en-GB"/>
        </w:rPr>
        <w:t xml:space="preserve">, although over a third of pupils remain below expectations. </w:t>
      </w:r>
      <w:r w:rsidRPr="00A616AE">
        <w:rPr>
          <w:rFonts w:eastAsia="Times New Roman" w:cstheme="minorHAnsi"/>
          <w:sz w:val="24"/>
          <w:szCs w:val="24"/>
          <w:highlight w:val="yellow"/>
          <w:lang w:eastAsia="en-GB"/>
        </w:rPr>
        <w:t>Mathematics presents the greatest challenge</w:t>
      </w:r>
      <w:r w:rsidRPr="00A616AE">
        <w:rPr>
          <w:rFonts w:eastAsia="Times New Roman" w:cstheme="minorHAnsi"/>
          <w:sz w:val="24"/>
          <w:szCs w:val="24"/>
          <w:lang w:eastAsia="en-GB"/>
        </w:rPr>
        <w:t xml:space="preserve">, with </w:t>
      </w:r>
      <w:r w:rsidRPr="00A616AE">
        <w:rPr>
          <w:rFonts w:eastAsia="Times New Roman" w:cstheme="minorHAnsi"/>
          <w:b/>
          <w:bCs/>
          <w:sz w:val="24"/>
          <w:szCs w:val="24"/>
          <w:lang w:eastAsia="en-GB"/>
        </w:rPr>
        <w:t>38% of pupils working below the expected standard</w:t>
      </w:r>
      <w:r w:rsidRPr="00A616AE">
        <w:rPr>
          <w:rFonts w:eastAsia="Times New Roman" w:cstheme="minorHAnsi"/>
          <w:sz w:val="24"/>
          <w:szCs w:val="24"/>
          <w:lang w:eastAsia="en-GB"/>
        </w:rPr>
        <w:t xml:space="preserve"> and 61% achieving expected or above. Continued </w:t>
      </w:r>
      <w:r w:rsidRPr="00A616AE">
        <w:rPr>
          <w:rFonts w:eastAsia="Times New Roman" w:cstheme="minorHAnsi"/>
          <w:sz w:val="24"/>
          <w:szCs w:val="24"/>
          <w:highlight w:val="yellow"/>
          <w:lang w:eastAsia="en-GB"/>
        </w:rPr>
        <w:t>focus on mathematical fluency, reasoning and problem solving will be important to strengthen attainment across the cohort.</w:t>
      </w:r>
    </w:p>
    <w:p w14:paraId="06F2E25E" w14:textId="77777777" w:rsidR="00A616AE" w:rsidRPr="00A616AE" w:rsidRDefault="00A616AE" w:rsidP="00A616AE">
      <w:pPr>
        <w:spacing w:before="100" w:beforeAutospacing="1" w:after="100" w:afterAutospacing="1" w:line="240" w:lineRule="auto"/>
        <w:outlineLvl w:val="2"/>
        <w:rPr>
          <w:rFonts w:eastAsia="Times New Roman" w:cstheme="minorHAnsi"/>
          <w:b/>
          <w:bCs/>
          <w:sz w:val="24"/>
          <w:szCs w:val="24"/>
          <w:lang w:eastAsia="en-GB"/>
        </w:rPr>
      </w:pPr>
      <w:r w:rsidRPr="00A616AE">
        <w:rPr>
          <w:rFonts w:eastAsia="Times New Roman" w:cstheme="minorHAnsi"/>
          <w:b/>
          <w:bCs/>
          <w:sz w:val="24"/>
          <w:szCs w:val="24"/>
          <w:lang w:eastAsia="en-GB"/>
        </w:rPr>
        <w:t>Year 4</w:t>
      </w:r>
    </w:p>
    <w:p w14:paraId="2EE2EF04" w14:textId="77777777" w:rsidR="00A616AE" w:rsidRPr="00A616AE" w:rsidRDefault="00A616AE" w:rsidP="00A616AE">
      <w:pPr>
        <w:spacing w:before="100" w:beforeAutospacing="1" w:after="100" w:afterAutospacing="1" w:line="240" w:lineRule="auto"/>
        <w:rPr>
          <w:rFonts w:eastAsia="Times New Roman" w:cstheme="minorHAnsi"/>
          <w:sz w:val="24"/>
          <w:szCs w:val="24"/>
          <w:lang w:eastAsia="en-GB"/>
        </w:rPr>
      </w:pPr>
      <w:r w:rsidRPr="00A616AE">
        <w:rPr>
          <w:rFonts w:eastAsia="Times New Roman" w:cstheme="minorHAnsi"/>
          <w:sz w:val="24"/>
          <w:szCs w:val="24"/>
          <w:lang w:eastAsia="en-GB"/>
        </w:rPr>
        <w:t xml:space="preserve">Year 4 outcomes indicate that the majority of pupils are working securely at the expected standard, although there are relatively few pupils </w:t>
      </w:r>
      <w:r w:rsidRPr="00A616AE">
        <w:rPr>
          <w:rFonts w:eastAsia="Times New Roman" w:cstheme="minorHAnsi"/>
          <w:sz w:val="24"/>
          <w:szCs w:val="24"/>
          <w:highlight w:val="yellow"/>
          <w:lang w:eastAsia="en-GB"/>
        </w:rPr>
        <w:t>achieving greater depth.</w:t>
      </w:r>
      <w:r w:rsidRPr="00A616AE">
        <w:rPr>
          <w:rFonts w:eastAsia="Times New Roman" w:cstheme="minorHAnsi"/>
          <w:sz w:val="24"/>
          <w:szCs w:val="24"/>
          <w:lang w:eastAsia="en-GB"/>
        </w:rPr>
        <w:t xml:space="preserve"> </w:t>
      </w:r>
      <w:r w:rsidRPr="00A616AE">
        <w:rPr>
          <w:rFonts w:eastAsia="Times New Roman" w:cstheme="minorHAnsi"/>
          <w:sz w:val="24"/>
          <w:szCs w:val="24"/>
          <w:highlight w:val="yellow"/>
          <w:lang w:eastAsia="en-GB"/>
        </w:rPr>
        <w:t>Reading is the weakest</w:t>
      </w:r>
      <w:r w:rsidRPr="00A616AE">
        <w:rPr>
          <w:rFonts w:eastAsia="Times New Roman" w:cstheme="minorHAnsi"/>
          <w:sz w:val="24"/>
          <w:szCs w:val="24"/>
          <w:lang w:eastAsia="en-GB"/>
        </w:rPr>
        <w:t xml:space="preserve"> of the three core subjects, with </w:t>
      </w:r>
      <w:r w:rsidRPr="00A616AE">
        <w:rPr>
          <w:rFonts w:eastAsia="Times New Roman" w:cstheme="minorHAnsi"/>
          <w:b/>
          <w:bCs/>
          <w:sz w:val="24"/>
          <w:szCs w:val="24"/>
          <w:lang w:eastAsia="en-GB"/>
        </w:rPr>
        <w:t>50% of pupils achieving the expected standard</w:t>
      </w:r>
      <w:r w:rsidRPr="00A616AE">
        <w:rPr>
          <w:rFonts w:eastAsia="Times New Roman" w:cstheme="minorHAnsi"/>
          <w:sz w:val="24"/>
          <w:szCs w:val="24"/>
          <w:lang w:eastAsia="en-GB"/>
        </w:rPr>
        <w:t xml:space="preserve">, while half remain below expectations. Both writing and mathematics show </w:t>
      </w:r>
      <w:r w:rsidRPr="00A616AE">
        <w:rPr>
          <w:rFonts w:eastAsia="Times New Roman" w:cstheme="minorHAnsi"/>
          <w:b/>
          <w:bCs/>
          <w:sz w:val="24"/>
          <w:szCs w:val="24"/>
          <w:lang w:eastAsia="en-GB"/>
        </w:rPr>
        <w:t>67% of pupils working at the expected standard</w:t>
      </w:r>
      <w:r w:rsidRPr="00A616AE">
        <w:rPr>
          <w:rFonts w:eastAsia="Times New Roman" w:cstheme="minorHAnsi"/>
          <w:sz w:val="24"/>
          <w:szCs w:val="24"/>
          <w:lang w:eastAsia="en-GB"/>
        </w:rPr>
        <w:t>, although no pupils are currently exceeding age-related expectations. Given the very small cohort size, individual pupils have a significant impact on percentages, but increasing the proportion of pupils working above the expected standard should be a priority alongside accelerating progress for those below.</w:t>
      </w:r>
    </w:p>
    <w:p w14:paraId="52F82F23" w14:textId="77777777" w:rsidR="00A616AE" w:rsidRPr="00A616AE" w:rsidRDefault="00A616AE" w:rsidP="00A616AE">
      <w:pPr>
        <w:spacing w:before="100" w:beforeAutospacing="1" w:after="100" w:afterAutospacing="1" w:line="240" w:lineRule="auto"/>
        <w:outlineLvl w:val="2"/>
        <w:rPr>
          <w:rFonts w:eastAsia="Times New Roman" w:cstheme="minorHAnsi"/>
          <w:b/>
          <w:bCs/>
          <w:sz w:val="24"/>
          <w:szCs w:val="24"/>
          <w:lang w:eastAsia="en-GB"/>
        </w:rPr>
      </w:pPr>
      <w:r w:rsidRPr="00A616AE">
        <w:rPr>
          <w:rFonts w:eastAsia="Times New Roman" w:cstheme="minorHAnsi"/>
          <w:b/>
          <w:bCs/>
          <w:sz w:val="24"/>
          <w:szCs w:val="24"/>
          <w:lang w:eastAsia="en-GB"/>
        </w:rPr>
        <w:t>Year 5</w:t>
      </w:r>
    </w:p>
    <w:p w14:paraId="163544E2" w14:textId="77777777" w:rsidR="00A616AE" w:rsidRPr="00A616AE" w:rsidRDefault="00A616AE" w:rsidP="00A616AE">
      <w:pPr>
        <w:spacing w:before="100" w:beforeAutospacing="1" w:after="100" w:afterAutospacing="1" w:line="240" w:lineRule="auto"/>
        <w:rPr>
          <w:rFonts w:eastAsia="Times New Roman" w:cstheme="minorHAnsi"/>
          <w:sz w:val="24"/>
          <w:szCs w:val="24"/>
          <w:lang w:eastAsia="en-GB"/>
        </w:rPr>
      </w:pPr>
      <w:r w:rsidRPr="00A616AE">
        <w:rPr>
          <w:rFonts w:eastAsia="Times New Roman" w:cstheme="minorHAnsi"/>
          <w:sz w:val="24"/>
          <w:szCs w:val="24"/>
          <w:lang w:eastAsia="en-GB"/>
        </w:rPr>
        <w:t xml:space="preserve">Year 5 presents a mixed attainment profile. Reading is the strongest subject, with </w:t>
      </w:r>
      <w:r w:rsidRPr="00A616AE">
        <w:rPr>
          <w:rFonts w:eastAsia="Times New Roman" w:cstheme="minorHAnsi"/>
          <w:b/>
          <w:bCs/>
          <w:sz w:val="24"/>
          <w:szCs w:val="24"/>
          <w:lang w:eastAsia="en-GB"/>
        </w:rPr>
        <w:t>75% of pupils working at or above the expected standard</w:t>
      </w:r>
      <w:r w:rsidRPr="00A616AE">
        <w:rPr>
          <w:rFonts w:eastAsia="Times New Roman" w:cstheme="minorHAnsi"/>
          <w:sz w:val="24"/>
          <w:szCs w:val="24"/>
          <w:lang w:eastAsia="en-GB"/>
        </w:rPr>
        <w:t xml:space="preserve">, providing a solid foundation ahead of Year 6. </w:t>
      </w:r>
      <w:r w:rsidRPr="00A616AE">
        <w:rPr>
          <w:rFonts w:eastAsia="Times New Roman" w:cstheme="minorHAnsi"/>
          <w:sz w:val="24"/>
          <w:szCs w:val="24"/>
          <w:highlight w:val="yellow"/>
          <w:lang w:eastAsia="en-GB"/>
        </w:rPr>
        <w:t>Writing outcomes are weaker</w:t>
      </w:r>
      <w:r w:rsidRPr="00A616AE">
        <w:rPr>
          <w:rFonts w:eastAsia="Times New Roman" w:cstheme="minorHAnsi"/>
          <w:sz w:val="24"/>
          <w:szCs w:val="24"/>
          <w:lang w:eastAsia="en-GB"/>
        </w:rPr>
        <w:t xml:space="preserve">, with </w:t>
      </w:r>
      <w:r w:rsidRPr="00A616AE">
        <w:rPr>
          <w:rFonts w:eastAsia="Times New Roman" w:cstheme="minorHAnsi"/>
          <w:b/>
          <w:bCs/>
          <w:sz w:val="24"/>
          <w:szCs w:val="24"/>
          <w:lang w:eastAsia="en-GB"/>
        </w:rPr>
        <w:t>56% achieving expected or above</w:t>
      </w:r>
      <w:r w:rsidRPr="00A616AE">
        <w:rPr>
          <w:rFonts w:eastAsia="Times New Roman" w:cstheme="minorHAnsi"/>
          <w:sz w:val="24"/>
          <w:szCs w:val="24"/>
          <w:lang w:eastAsia="en-GB"/>
        </w:rPr>
        <w:t xml:space="preserve">, and almost a third of </w:t>
      </w:r>
      <w:r w:rsidRPr="00A616AE">
        <w:rPr>
          <w:rFonts w:eastAsia="Times New Roman" w:cstheme="minorHAnsi"/>
          <w:sz w:val="24"/>
          <w:szCs w:val="24"/>
          <w:lang w:eastAsia="en-GB"/>
        </w:rPr>
        <w:lastRenderedPageBreak/>
        <w:t xml:space="preserve">pupils working well below expectations. Mathematics also requires continued development, with </w:t>
      </w:r>
      <w:r w:rsidRPr="00A616AE">
        <w:rPr>
          <w:rFonts w:eastAsia="Times New Roman" w:cstheme="minorHAnsi"/>
          <w:b/>
          <w:bCs/>
          <w:sz w:val="24"/>
          <w:szCs w:val="24"/>
          <w:lang w:eastAsia="en-GB"/>
        </w:rPr>
        <w:t>63% of pupils achieving expected or above</w:t>
      </w:r>
      <w:r w:rsidRPr="00A616AE">
        <w:rPr>
          <w:rFonts w:eastAsia="Times New Roman" w:cstheme="minorHAnsi"/>
          <w:sz w:val="24"/>
          <w:szCs w:val="24"/>
          <w:lang w:eastAsia="en-GB"/>
        </w:rPr>
        <w:t>, while a substantial minority remain below the expected standard. Targeted intervention for pupils working just below age-related expectations should enable many to make accelerated progress before Key Stage 2 statutory assessments.</w:t>
      </w:r>
    </w:p>
    <w:p w14:paraId="14A04C8C" w14:textId="77777777" w:rsidR="00A616AE" w:rsidRPr="00A616AE" w:rsidRDefault="00A616AE" w:rsidP="00A616AE">
      <w:pPr>
        <w:spacing w:before="100" w:beforeAutospacing="1" w:after="100" w:afterAutospacing="1" w:line="240" w:lineRule="auto"/>
        <w:outlineLvl w:val="2"/>
        <w:rPr>
          <w:rFonts w:eastAsia="Times New Roman" w:cstheme="minorHAnsi"/>
          <w:b/>
          <w:bCs/>
          <w:sz w:val="24"/>
          <w:szCs w:val="24"/>
          <w:lang w:eastAsia="en-GB"/>
        </w:rPr>
      </w:pPr>
      <w:r w:rsidRPr="00A616AE">
        <w:rPr>
          <w:rFonts w:eastAsia="Times New Roman" w:cstheme="minorHAnsi"/>
          <w:b/>
          <w:bCs/>
          <w:sz w:val="24"/>
          <w:szCs w:val="24"/>
          <w:lang w:eastAsia="en-GB"/>
        </w:rPr>
        <w:t>Overall narrative</w:t>
      </w:r>
    </w:p>
    <w:p w14:paraId="64A56469" w14:textId="77777777" w:rsidR="00A616AE" w:rsidRPr="00A616AE" w:rsidRDefault="00A616AE" w:rsidP="00A616AE">
      <w:pPr>
        <w:spacing w:before="100" w:beforeAutospacing="1" w:after="100" w:afterAutospacing="1" w:line="240" w:lineRule="auto"/>
        <w:rPr>
          <w:rFonts w:eastAsia="Times New Roman" w:cstheme="minorHAnsi"/>
          <w:sz w:val="24"/>
          <w:szCs w:val="24"/>
          <w:lang w:eastAsia="en-GB"/>
        </w:rPr>
      </w:pPr>
      <w:r w:rsidRPr="00A616AE">
        <w:rPr>
          <w:rFonts w:eastAsia="Times New Roman" w:cstheme="minorHAnsi"/>
          <w:sz w:val="24"/>
          <w:szCs w:val="24"/>
          <w:lang w:eastAsia="en-GB"/>
        </w:rPr>
        <w:t xml:space="preserve">Across Years 1–5, </w:t>
      </w:r>
      <w:r w:rsidRPr="00A616AE">
        <w:rPr>
          <w:rFonts w:eastAsia="Times New Roman" w:cstheme="minorHAnsi"/>
          <w:b/>
          <w:bCs/>
          <w:sz w:val="24"/>
          <w:szCs w:val="24"/>
          <w:highlight w:val="green"/>
          <w:lang w:eastAsia="en-GB"/>
        </w:rPr>
        <w:t>reading is the strongest curriculum area</w:t>
      </w:r>
      <w:r w:rsidRPr="00A616AE">
        <w:rPr>
          <w:rFonts w:eastAsia="Times New Roman" w:cstheme="minorHAnsi"/>
          <w:sz w:val="24"/>
          <w:szCs w:val="24"/>
          <w:highlight w:val="green"/>
          <w:lang w:eastAsia="en-GB"/>
        </w:rPr>
        <w:t>,</w:t>
      </w:r>
      <w:r w:rsidRPr="00A616AE">
        <w:rPr>
          <w:rFonts w:eastAsia="Times New Roman" w:cstheme="minorHAnsi"/>
          <w:sz w:val="24"/>
          <w:szCs w:val="24"/>
          <w:lang w:eastAsia="en-GB"/>
        </w:rPr>
        <w:t xml:space="preserve"> with most year groups showing high proportions of pupils achieving the expected standard or above and several cohorts demonstrating strong greater depth attainment. </w:t>
      </w:r>
      <w:r w:rsidRPr="00A616AE">
        <w:rPr>
          <w:rFonts w:eastAsia="Times New Roman" w:cstheme="minorHAnsi"/>
          <w:b/>
          <w:bCs/>
          <w:sz w:val="24"/>
          <w:szCs w:val="24"/>
          <w:lang w:eastAsia="en-GB"/>
        </w:rPr>
        <w:t>Mathematics is strong in Key Stage 1 but becomes more variable in Key Stage 2</w:t>
      </w:r>
      <w:r w:rsidRPr="00A616AE">
        <w:rPr>
          <w:rFonts w:eastAsia="Times New Roman" w:cstheme="minorHAnsi"/>
          <w:sz w:val="24"/>
          <w:szCs w:val="24"/>
          <w:lang w:eastAsia="en-GB"/>
        </w:rPr>
        <w:t xml:space="preserve">, particularly in Years 3 and 5, where a larger proportion of pupils remain below age-related expectations. </w:t>
      </w:r>
      <w:r w:rsidRPr="00A616AE">
        <w:rPr>
          <w:rFonts w:eastAsia="Times New Roman" w:cstheme="minorHAnsi"/>
          <w:b/>
          <w:bCs/>
          <w:sz w:val="24"/>
          <w:szCs w:val="24"/>
          <w:lang w:eastAsia="en-GB"/>
        </w:rPr>
        <w:t>Writing is the least consistent subject across the school</w:t>
      </w:r>
      <w:r w:rsidRPr="00A616AE">
        <w:rPr>
          <w:rFonts w:eastAsia="Times New Roman" w:cstheme="minorHAnsi"/>
          <w:sz w:val="24"/>
          <w:szCs w:val="24"/>
          <w:lang w:eastAsia="en-GB"/>
        </w:rPr>
        <w:t>, with several cohorts containing pupils working just below the expected standard rather than significantly below. This indicates that targeted intervention, high-quality adaptive teaching and regular opportunities for extended writing should enable many pupils to achieve age-related expectations. Overall, the data suggests a secure foundation in reading, positive outcomes in Key Stage 1, and clear priorities for improving consistency in writing and mathematics across Key Stage 2.</w:t>
      </w:r>
    </w:p>
    <w:p w14:paraId="277E46AA" w14:textId="3809E9E9" w:rsidR="00A616AE" w:rsidRPr="00A616AE" w:rsidRDefault="00A616AE" w:rsidP="00A616AE">
      <w:pPr>
        <w:tabs>
          <w:tab w:val="left" w:pos="1284"/>
        </w:tabs>
        <w:rPr>
          <w:rFonts w:cstheme="minorHAnsi"/>
          <w:sz w:val="24"/>
          <w:szCs w:val="24"/>
        </w:rPr>
      </w:pPr>
    </w:p>
    <w:sectPr w:rsidR="00A616AE" w:rsidRPr="00A616AE" w:rsidSect="00D9129B">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29B"/>
    <w:rsid w:val="00427FB0"/>
    <w:rsid w:val="004747DD"/>
    <w:rsid w:val="0051159C"/>
    <w:rsid w:val="005C1EB0"/>
    <w:rsid w:val="006E2F79"/>
    <w:rsid w:val="008A7151"/>
    <w:rsid w:val="00A522AA"/>
    <w:rsid w:val="00A616AE"/>
    <w:rsid w:val="00B175D6"/>
    <w:rsid w:val="00D9129B"/>
    <w:rsid w:val="00DC59EA"/>
    <w:rsid w:val="00FC4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27E9E"/>
  <w15:chartTrackingRefBased/>
  <w15:docId w15:val="{66E68A69-8192-4B35-B5A1-DA64930F4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616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4B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FC4B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4BFE"/>
    <w:rPr>
      <w:b/>
      <w:bCs/>
    </w:rPr>
  </w:style>
  <w:style w:type="character" w:customStyle="1" w:styleId="Heading3Char">
    <w:name w:val="Heading 3 Char"/>
    <w:basedOn w:val="DefaultParagraphFont"/>
    <w:link w:val="Heading3"/>
    <w:uiPriority w:val="9"/>
    <w:semiHidden/>
    <w:rsid w:val="00A616A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2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1016</Words>
  <Characters>5796</Characters>
  <Application>Microsoft Office Word</Application>
  <DocSecurity>0</DocSecurity>
  <Lines>48</Lines>
  <Paragraphs>13</Paragraphs>
  <ScaleCrop>false</ScaleCrop>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Veeder</dc:creator>
  <cp:keywords/>
  <dc:description/>
  <cp:lastModifiedBy>Rachel Veeder</cp:lastModifiedBy>
  <cp:revision>2</cp:revision>
  <dcterms:created xsi:type="dcterms:W3CDTF">2026-07-28T10:37:00Z</dcterms:created>
  <dcterms:modified xsi:type="dcterms:W3CDTF">2026-07-28T10:37:00Z</dcterms:modified>
</cp:coreProperties>
</file>